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中共秦皇岛市抚宁区纪律检查委员会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ArialUnicodeMS" w:hAnsiTheme="minorHAnsi"/>
          <w:kern w:val="0"/>
          <w:sz w:val="32"/>
          <w:szCs w:val="32"/>
          <w:highlight w:val="none"/>
        </w:rPr>
      </w:pPr>
      <w:r>
        <w:rPr>
          <w:rFonts w:hint="eastAsia" w:ascii="仿宋_GB2312" w:eastAsia="仿宋_GB2312" w:cs="ArialUnicodeMS" w:hAnsiTheme="minorHAnsi"/>
          <w:kern w:val="0"/>
          <w:sz w:val="32"/>
          <w:szCs w:val="32"/>
          <w:highlight w:val="none"/>
        </w:rPr>
        <w:t>维护党的章程和其他党内法规，检查党的路线、方针、政策和决议的执行情况，协助党的委员会推进全面从严治党、加强党风建设和组织协调反腐败工作。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ArialUnicodeMS" w:hAnsiTheme="minorHAnsi"/>
          <w:kern w:val="0"/>
          <w:sz w:val="32"/>
          <w:szCs w:val="32"/>
          <w:highlight w:val="yellow"/>
        </w:rPr>
      </w:pPr>
      <w:r>
        <w:rPr>
          <w:rFonts w:hint="eastAsia" w:ascii="仿宋_GB2312" w:eastAsia="仿宋_GB2312" w:cs="ArialUnicodeMS" w:hAnsiTheme="minorHAnsi"/>
          <w:kern w:val="0"/>
          <w:sz w:val="32"/>
          <w:szCs w:val="32"/>
          <w:highlight w:val="none"/>
        </w:rPr>
        <w:t>依法对所有行使公权力的公职人员进行监察，调查职务违法和职务犯罪，开展廉政建设和反腐败工作，维护宪法和法律的尊严。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ArialUnicodeMS"/>
          <w:kern w:val="0"/>
          <w:sz w:val="32"/>
          <w:szCs w:val="32"/>
        </w:rPr>
      </w:pP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中共秦皇岛市抚宁区纪律检查委员会</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收入总计1016.35万元，支出总计925.05万元，年末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val="en-US" w:eastAsia="zh-CN"/>
        </w:rPr>
        <w:t>151.54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收入增加80.70万元，增长8.63%，</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机构改革人员增加，经费增加，支出增加40.48万元，增长4.58%，</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机构改革本年度人员增加，致使经费相应增加</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1016.35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1013.56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99.73</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2.79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0.27</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925.05</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742.33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80.25</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182.72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19.75</w:t>
      </w:r>
      <w:r>
        <w:rPr>
          <w:rFonts w:hint="eastAsia" w:ascii="仿宋_GB2312" w:hAnsi="Times New Roman" w:eastAsia="仿宋_GB2312" w:cs="DengXian-Regular"/>
          <w:sz w:val="32"/>
          <w:szCs w:val="32"/>
        </w:rPr>
        <w:t>%。</w:t>
      </w:r>
      <w:r>
        <w:rPr>
          <w:sz w:val="32"/>
        </w:rPr>
        <mc:AlternateContent>
          <mc:Choice Requires="wps">
            <w:drawing>
              <wp:anchor distT="0" distB="0" distL="114300" distR="114300" simplePos="0" relativeHeight="994152448" behindDoc="0" locked="0" layoutInCell="1" allowOverlap="1">
                <wp:simplePos x="0" y="0"/>
                <wp:positionH relativeFrom="column">
                  <wp:posOffset>2921000</wp:posOffset>
                </wp:positionH>
                <wp:positionV relativeFrom="paragraph">
                  <wp:posOffset>275590</wp:posOffset>
                </wp:positionV>
                <wp:extent cx="6350" cy="38100"/>
                <wp:effectExtent l="0" t="0" r="0" b="0"/>
                <wp:wrapNone/>
                <wp:docPr id="30" name="直接连接符 30"/>
                <wp:cNvGraphicFramePr/>
                <a:graphic xmlns:a="http://schemas.openxmlformats.org/drawingml/2006/main">
                  <a:graphicData uri="http://schemas.microsoft.com/office/word/2010/wordprocessingShape">
                    <wps:wsp>
                      <wps:cNvCnPr/>
                      <wps:spPr>
                        <a:xfrm>
                          <a:off x="3929380" y="7500620"/>
                          <a:ext cx="6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0pt;margin-top:21.7pt;height:3pt;width:0.5pt;z-index:994152448;mso-width-relative:page;mso-height-relative:page;" filled="f" stroked="t" coordsize="21600,21600" o:gfxdata="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8AE+rYAAAACQEAAA8AAAAAAAAA&#10;AQAgAAAAIgAAAGRycy9kb3ducmV2LnhtbFBLAQIUABQAAAAIAIdO4kAjAU2V2AEAAHIDAAAOAAAA&#10;AAAAAAEAIAAAACcBAABkcnMvZTJvRG9jLnhtbFBLBQYAAAAABgAGAFkBAABxBQAAAAA=&#10;">
                <v:fill on="f" focussize="0,0"/>
                <v:stroke weight="0.5pt" color="#4472C4 [3204]" miterlimit="8" joinstyle="miter"/>
                <v:imagedata o:title=""/>
                <o:lock v:ext="edit" aspectratio="f"/>
              </v:line>
            </w:pict>
          </mc:Fallback>
        </mc:AlternateContent>
      </w:r>
    </w:p>
    <w:p>
      <w:pPr>
        <w:keepNext/>
        <w:keepLines/>
        <w:pageBreakBefore w:val="0"/>
        <w:widowControl w:val="0"/>
        <w:numPr>
          <w:ilvl w:val="0"/>
          <w:numId w:val="1"/>
        </w:numPr>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其中本年收入1013.56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77.91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机构改革本年度人员增加，致使经费相应增加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922.26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37.69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4.26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机构改革本年度人员增加，致使经费相应增加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1013.56万元，完成年初预算的135.06%,比年初预算增加263.13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决算数大于（小于）预算数主要原因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机构改革本年度人员增加，致使经费相应增加，以及</w:t>
      </w:r>
      <w:r>
        <w:rPr>
          <w:rFonts w:hint="eastAsia" w:ascii="仿宋_GB2312" w:hAnsi="Times New Roman" w:eastAsia="仿宋_GB2312" w:cs="DengXian-Regular"/>
          <w:sz w:val="32"/>
          <w:szCs w:val="32"/>
          <w:lang w:eastAsia="zh-CN"/>
        </w:rPr>
        <w:t>年中财政部门追加了</w:t>
      </w:r>
      <w:r>
        <w:rPr>
          <w:rFonts w:hint="eastAsia" w:ascii="仿宋_GB2312" w:hAnsi="Times New Roman" w:eastAsia="仿宋_GB2312" w:cs="DengXian-Regular"/>
          <w:sz w:val="32"/>
          <w:szCs w:val="32"/>
        </w:rPr>
        <w:t>廉政文化培训中心雇用人员经费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廉培中心公用取暖费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纪委监委办案基地维修改造及办公用房粉刷项目资金</w:t>
      </w:r>
      <w:r>
        <w:rPr>
          <w:rFonts w:hint="eastAsia" w:ascii="仿宋_GB2312" w:hAnsi="Times New Roman" w:eastAsia="仿宋_GB2312" w:cs="DengXian-Regular"/>
          <w:sz w:val="32"/>
          <w:szCs w:val="32"/>
          <w:lang w:val="en-US" w:eastAsia="zh-CN"/>
        </w:rPr>
        <w:t>113.3252万元</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922.26万元，完成年初预算的122.90%,比年初预算增加171.83</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Times New Roman" w:eastAsia="仿宋_GB2312" w:cs="DengXian-Regular"/>
          <w:sz w:val="32"/>
          <w:szCs w:val="32"/>
          <w:lang w:val="en-US" w:eastAsia="zh-CN"/>
        </w:rPr>
        <w:t>机构改革本年度人员增加，致使经费相应增加，以及本年度追加的项目经费支出</w:t>
      </w:r>
      <w:r>
        <w:rPr>
          <w:rFonts w:hint="eastAsia" w:ascii="仿宋_GB2312" w:hAnsi="Times New Roman" w:eastAsia="仿宋_GB2312" w:cs="DengXian-Regular"/>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年度财政拨款支出922.26万元，主要用于以下方面一般公共服务（类）支出730.50万元，占79.21%；社会保障和就业（类）支出 111.53万元，占12.09%；卫生健康（类）支出32.78万元，占3.55%；住房保障（类）支出47.45万元，占 5.15%。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年度财政拨款基本支出742.33万元，其中：人员经费 703.19万元，主要包括基本工资、津贴补贴、奖金、机关事业单位基本养老保险缴费、职工基本医疗保险缴费、住房公积金、医疗费、其他社会保障缴费、离休费、退休费、生活补助、奖励金、其他对个人和家庭的补助支出；公用经费 39.14万元，主要包括办公费、印刷费、手续费、邮电费、培训费、工会经费、福利费、其他交通费用、其他商品和服务支出。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21.08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62%,</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12.92</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38</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原因</w:t>
      </w:r>
      <w:r>
        <w:rPr>
          <w:rFonts w:hint="eastAsia" w:ascii="仿宋_GB2312" w:hAnsi="Times New Roman" w:eastAsia="仿宋_GB2312" w:cs="DengXian-Regular"/>
          <w:sz w:val="32"/>
          <w:szCs w:val="32"/>
        </w:rPr>
        <w:t>是认真贯彻落实中央“八项规定”精神和厉行节约要求，从严控制“三</w:t>
      </w:r>
    </w:p>
    <w:p>
      <w:pPr>
        <w:pageBreakBefore w:val="0"/>
        <w:widowControl w:val="0"/>
        <w:kinsoku/>
        <w:wordWrap/>
        <w:overflowPunct/>
        <w:topLinePunct w:val="0"/>
        <w:autoSpaceDE/>
        <w:autoSpaceDN/>
        <w:bidi w:val="0"/>
        <w:adjustRightInd w:val="0"/>
        <w:snapToGrid w:val="0"/>
        <w:spacing w:line="580" w:lineRule="exact"/>
        <w:ind w:right="0" w:rightChars="0"/>
        <w:jc w:val="left"/>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公”经费开支；较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5.33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rPr>
        <w:t>%，主要是上年购置汽车一辆。具体情况如下：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年持平</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15.98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12.02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42.93</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原因</w:t>
      </w:r>
      <w:r>
        <w:rPr>
          <w:rFonts w:hint="eastAsia" w:ascii="仿宋_GB2312" w:hAnsi="Times New Roman" w:eastAsia="仿宋_GB2312" w:cs="DengXian-Regular"/>
          <w:sz w:val="32"/>
          <w:szCs w:val="32"/>
        </w:rPr>
        <w:t>是认真贯彻落实中央“八项规定”精神和厉行节约要求，从严控制“三公”经费开支；较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5.22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24.63</w:t>
      </w:r>
      <w:r>
        <w:rPr>
          <w:rFonts w:hint="eastAsia" w:ascii="仿宋_GB2312" w:hAnsi="Times New Roman" w:eastAsia="仿宋_GB2312" w:cs="DengXian-Regular"/>
          <w:sz w:val="32"/>
          <w:szCs w:val="32"/>
        </w:rPr>
        <w:t>%,主要是上年购置汽车一辆</w:t>
      </w:r>
      <w:r>
        <w:rPr>
          <w:rFonts w:hint="eastAsia" w:ascii="仿宋_GB2312" w:hAnsi="Times New Roman" w:eastAsia="仿宋_GB2312" w:cs="DengXian-Regular"/>
          <w:sz w:val="32"/>
          <w:szCs w:val="32"/>
          <w:lang w:eastAsia="zh-CN"/>
        </w:rPr>
        <w:t>，上年有部分费用在本年列支</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“公务用车购置”经费支出。公务用车购置费支出</w:t>
      </w:r>
      <w:r>
        <w:rPr>
          <w:rFonts w:hint="eastAsia" w:ascii="仿宋_GB2312" w:hAnsi="Times New Roman" w:eastAsia="仿宋_GB2312" w:cs="DengXian-Regular"/>
          <w:sz w:val="32"/>
          <w:szCs w:val="32"/>
          <w:lang w:eastAsia="zh-CN"/>
        </w:rPr>
        <w:t>与年初</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9.06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%,主要原因是根据纪检监察工作需要，处置更新执法执勤用车。</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12.02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42.93</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eastAsia="zh-CN"/>
        </w:rPr>
        <w:t>原因</w:t>
      </w:r>
      <w:r>
        <w:rPr>
          <w:rFonts w:hint="eastAsia" w:ascii="仿宋_GB2312" w:hAnsi="Times New Roman" w:eastAsia="仿宋_GB2312" w:cs="DengXian-Regular"/>
          <w:sz w:val="32"/>
          <w:szCs w:val="32"/>
        </w:rPr>
        <w:t>是认真贯彻落实中央“八项规定”精神和厉行节约要求，从严控制“三公”经费开支；较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3.84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31.65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上年有部分费用在本年列支</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5.1</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148</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1028</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b w:val="0"/>
          <w:bCs w:val="0"/>
          <w:sz w:val="32"/>
          <w:szCs w:val="32"/>
          <w:lang w:val="en-US" w:eastAsia="zh-CN"/>
        </w:rPr>
        <w:t>认真贯彻落实中央“八项规定”精神和厉行节约要求，从严控制公务接待费开支</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0.11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b w:val="0"/>
          <w:bCs w:val="0"/>
          <w:sz w:val="32"/>
          <w:szCs w:val="32"/>
          <w:lang w:val="en-US" w:eastAsia="zh-CN"/>
        </w:rPr>
        <w:t>认真贯彻落实中央“八项规定”精神和厉行节约要求，从严控制公务接待费开支</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7个，二级项目0个，共涉及资金179.93万元，占一般公共预算项目支出总额的100%。组织对“大要案专项经费”“党风廉政建设专项经费”等7个项目开展了部门评价。从评价情况来看，从评价情况来看，本部门2019 年度预算项目在目标设定、决策过程、资金使用管理、组织实施、项目效果等方面都落实较好。下一步，我部门将继续深入贯彻落实《中共河北省委 河北省人民政府关于全面实施预算绩效管理的实施意见》精神，加强对预算绩效管理工作的组织领导，牢固树立绩效意识，强化预算绩效理念，把绩效评价结果作为预算编制的重要依据，努力提高预算质量，提升绩效管理工作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本部门在今年部门决算公开中反映办案问责专项经费项目、大要案专项经费项目、党风廉政建设专项经费项目及监督检查及巡视督察专项经费项目等4个项目绩效自评结果。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1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办案问责专项经费项目自评综述：根据年初设定的绩效目标，办案问责专项经费项目绩效自评得分为97.82分（绩效自评表附后）。全年预算数为18万元，执行数为14.07万元，完成预算的78.17%。项目绩效目标完成情况：一是</w:t>
      </w:r>
      <w:r>
        <w:rPr>
          <w:rFonts w:hint="eastAsia" w:ascii="仿宋_GB2312" w:eastAsia="仿宋_GB2312" w:cs="ArialUnicodeMS" w:hAnsiTheme="minorHAnsi"/>
          <w:kern w:val="0"/>
          <w:sz w:val="32"/>
          <w:szCs w:val="32"/>
          <w:highlight w:val="none"/>
        </w:rPr>
        <w:t>对违法的公职人员依法作出政务处分决定；</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eastAsia="仿宋_GB2312" w:cs="ArialUnicodeMS" w:hAnsiTheme="minorHAnsi"/>
          <w:kern w:val="0"/>
          <w:sz w:val="32"/>
          <w:szCs w:val="32"/>
          <w:highlight w:val="none"/>
        </w:rPr>
        <w:t>对履行职责不力、失职失责的领导人员进行问责；</w:t>
      </w:r>
      <w:r>
        <w:rPr>
          <w:rFonts w:hint="eastAsia" w:ascii="仿宋_GB2312" w:eastAsia="仿宋_GB2312" w:cs="ArialUnicodeMS"/>
          <w:kern w:val="0"/>
          <w:sz w:val="32"/>
          <w:szCs w:val="32"/>
          <w:highlight w:val="none"/>
          <w:lang w:eastAsia="zh-CN"/>
        </w:rPr>
        <w:t>三是</w:t>
      </w:r>
      <w:r>
        <w:rPr>
          <w:rFonts w:hint="eastAsia" w:ascii="仿宋_GB2312" w:eastAsia="仿宋_GB2312" w:cs="ArialUnicodeMS" w:hAnsiTheme="minorHAnsi"/>
          <w:kern w:val="0"/>
          <w:sz w:val="32"/>
          <w:szCs w:val="32"/>
          <w:highlight w:val="none"/>
        </w:rPr>
        <w:t>对涉嫌职务犯罪的，将调查结果移送人民检察院依法审查、提起公诉</w:t>
      </w:r>
      <w:r>
        <w:rPr>
          <w:rFonts w:hint="eastAsia" w:ascii="仿宋_GB2312" w:hAnsi="仿宋_GB2312" w:eastAsia="仿宋_GB2312" w:cs="仿宋_GB2312"/>
          <w:b w:val="0"/>
          <w:bCs w:val="0"/>
          <w:kern w:val="2"/>
          <w:sz w:val="32"/>
          <w:szCs w:val="32"/>
          <w:lang w:val="en-US" w:eastAsia="zh-CN" w:bidi="ar-SA"/>
        </w:rPr>
        <w:t>。发现的主要问题及原因年底存在资金结余。下一步改进措施：我单位将提高资金使用效率，确保资金优化配置，尽快高效支出。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绩效自评表</w:t>
      </w:r>
    </w:p>
    <w:tbl>
      <w:tblPr>
        <w:tblStyle w:val="6"/>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办案问责专项经费（不是专项资金）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[222002]抚宁区纪检会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1"/>
                <w:szCs w:val="21"/>
                <w:u w:val="none"/>
              </w:rPr>
            </w:pPr>
            <w:r>
              <w:rPr>
                <w:rFonts w:hint="eastAsia" w:ascii="宋体" w:hAnsi="宋体" w:eastAsia="宋体" w:cs="宋体"/>
                <w:i w:val="0"/>
                <w:color w:val="000000"/>
                <w:kern w:val="0"/>
                <w:sz w:val="18"/>
                <w:szCs w:val="18"/>
                <w:u w:val="none"/>
                <w:lang w:val="en-US" w:eastAsia="zh-CN" w:bidi="ar"/>
              </w:rPr>
              <w:t>14.07</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14.07</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维护党纪国法尊严，坚决惩处腐败分子，有效遏制腐败现象。</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2018年度预算资金实际到位18万元，实际支出14.07万元，用于支付办案经费办公经费等。</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案件办结率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资金使用规范率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审限结案率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资金使用规范情况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审限结案情况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案件办结情况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群众满意度</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1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本年度年底尚余3.93万元未支出，我单位将提高资金使用效率，确保资金优化配置，尽快高效支出。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1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大要案专项经费项目自评综述：根据年初设定的绩效目标，大要案专项经费项目绩效自评得分为98.32分（绩效自评表附后）。全年预算数为25万元，执行数为20.8万元，完成预算的83.20%。项目绩效目标完成情况：一是</w:t>
      </w:r>
      <w:r>
        <w:rPr>
          <w:rFonts w:hint="eastAsia" w:ascii="仿宋_GB2312" w:eastAsia="仿宋_GB2312" w:cs="ArialUnicodeMS" w:hAnsiTheme="minorHAnsi"/>
          <w:kern w:val="0"/>
          <w:sz w:val="32"/>
          <w:szCs w:val="32"/>
          <w:highlight w:val="none"/>
        </w:rPr>
        <w:t>对违法的公职人员依法作出政务处分决定；</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eastAsia="仿宋_GB2312" w:cs="ArialUnicodeMS" w:hAnsiTheme="minorHAnsi"/>
          <w:kern w:val="0"/>
          <w:sz w:val="32"/>
          <w:szCs w:val="32"/>
          <w:highlight w:val="none"/>
        </w:rPr>
        <w:t>对履行职责不力、失职失责的领导人员进行问责；</w:t>
      </w:r>
      <w:r>
        <w:rPr>
          <w:rFonts w:hint="eastAsia" w:ascii="仿宋_GB2312" w:eastAsia="仿宋_GB2312" w:cs="ArialUnicodeMS"/>
          <w:kern w:val="0"/>
          <w:sz w:val="32"/>
          <w:szCs w:val="32"/>
          <w:highlight w:val="none"/>
          <w:lang w:eastAsia="zh-CN"/>
        </w:rPr>
        <w:t>三是</w:t>
      </w:r>
      <w:r>
        <w:rPr>
          <w:rFonts w:hint="eastAsia" w:ascii="仿宋_GB2312" w:eastAsia="仿宋_GB2312" w:cs="ArialUnicodeMS" w:hAnsiTheme="minorHAnsi"/>
          <w:kern w:val="0"/>
          <w:sz w:val="32"/>
          <w:szCs w:val="32"/>
          <w:highlight w:val="none"/>
        </w:rPr>
        <w:t>对涉嫌职务犯罪的，将调查结果移送人民检察院依法审查、提起公诉</w:t>
      </w:r>
      <w:r>
        <w:rPr>
          <w:rFonts w:hint="eastAsia" w:ascii="仿宋_GB2312" w:hAnsi="仿宋_GB2312" w:eastAsia="仿宋_GB2312" w:cs="仿宋_GB2312"/>
          <w:b w:val="0"/>
          <w:bCs w:val="0"/>
          <w:kern w:val="2"/>
          <w:sz w:val="32"/>
          <w:szCs w:val="32"/>
          <w:lang w:val="en-US" w:eastAsia="zh-CN" w:bidi="ar-SA"/>
        </w:rPr>
        <w:t>。发现的主要问题及原因年底存在资金结余。下一步改进措施：我单位将提高资金使用效率，确保资金优化配置，尽快高效支出。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0" w:leftChars="0" w:right="0" w:rightChars="0" w:firstLine="2560" w:firstLineChars="8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w:t>
      </w:r>
    </w:p>
    <w:tbl>
      <w:tblPr>
        <w:tblStyle w:val="6"/>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110"/>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大要案专项经费（是专项资金）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5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[222002]抚宁区纪检会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20.8</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加大问责力度，促进“两个责任”有效落实；巡视监督常态化、全覆盖。</w:t>
            </w: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2018年度预算资金实际到位25万元，实际支出20.8万元，用于支付办案支出等。</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案件办结率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资金使用规范率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审限结案率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资金使用规范情况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审限结案情况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案件办结情况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群众满意度</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Fonts w:ascii="Calibri" w:hAnsi="Calibri" w:eastAsia="宋体" w:cs="Calibri"/>
                <w:i w:val="0"/>
                <w:color w:val="000000"/>
                <w:kern w:val="0"/>
                <w:sz w:val="16"/>
                <w:szCs w:val="16"/>
                <w:u w:val="none"/>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1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本年度年底尚余4.2万元未支出，我单位将提高资金使用效率，确保资金优化配置，尽快高效支出。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1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党风廉政建设专项经费项目自评综述：根据年初设定的绩效目标，党风廉政建设专项经费项目绩效自评得分为95.33分（绩效自评表附后）。全年预算数为35万元，执行数为18.67万元，完成预算的53.34%。项目绩效目标完成情况：一是</w:t>
      </w:r>
      <w:r>
        <w:rPr>
          <w:rFonts w:hint="eastAsia" w:ascii="仿宋_GB2312" w:eastAsia="仿宋_GB2312" w:cs="ArialUnicodeMS" w:hAnsiTheme="minorHAnsi"/>
          <w:kern w:val="0"/>
          <w:sz w:val="32"/>
          <w:szCs w:val="32"/>
          <w:highlight w:val="none"/>
        </w:rPr>
        <w:t>对公职人员开展廉政教育，对其依法履职、秉公用权、廉洁从政从业以及道德操守情况进行监督检查；</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eastAsia="仿宋_GB2312" w:cs="ArialUnicodeMS" w:hAnsiTheme="minorHAnsi"/>
          <w:kern w:val="0"/>
          <w:sz w:val="32"/>
          <w:szCs w:val="32"/>
          <w:highlight w:val="none"/>
        </w:rPr>
        <w:t>对违法的公职人员依法作出政务处分决定；</w:t>
      </w:r>
      <w:r>
        <w:rPr>
          <w:rFonts w:hint="eastAsia" w:ascii="仿宋_GB2312" w:hAnsi="仿宋_GB2312" w:eastAsia="仿宋_GB2312" w:cs="仿宋_GB2312"/>
          <w:b w:val="0"/>
          <w:bCs w:val="0"/>
          <w:kern w:val="2"/>
          <w:sz w:val="32"/>
          <w:szCs w:val="32"/>
          <w:lang w:val="en-US" w:eastAsia="zh-CN" w:bidi="ar-SA"/>
        </w:rPr>
        <w:t>三是</w:t>
      </w:r>
      <w:r>
        <w:rPr>
          <w:rFonts w:hint="eastAsia" w:ascii="仿宋_GB2312" w:eastAsia="仿宋_GB2312" w:cs="ArialUnicodeMS" w:hAnsiTheme="minorHAnsi"/>
          <w:kern w:val="0"/>
          <w:sz w:val="32"/>
          <w:szCs w:val="32"/>
          <w:highlight w:val="none"/>
        </w:rPr>
        <w:t>对履行职责不力、失职失责的领导人员进行问责；</w:t>
      </w:r>
      <w:r>
        <w:rPr>
          <w:rFonts w:hint="eastAsia" w:ascii="仿宋_GB2312" w:eastAsia="仿宋_GB2312" w:cs="ArialUnicodeMS"/>
          <w:kern w:val="0"/>
          <w:sz w:val="32"/>
          <w:szCs w:val="32"/>
          <w:highlight w:val="none"/>
          <w:lang w:eastAsia="zh-CN"/>
        </w:rPr>
        <w:t>四是</w:t>
      </w:r>
      <w:r>
        <w:rPr>
          <w:rFonts w:hint="eastAsia" w:ascii="仿宋_GB2312" w:eastAsia="仿宋_GB2312" w:cs="ArialUnicodeMS" w:hAnsiTheme="minorHAnsi"/>
          <w:kern w:val="0"/>
          <w:sz w:val="32"/>
          <w:szCs w:val="32"/>
          <w:highlight w:val="none"/>
        </w:rPr>
        <w:t>对涉嫌职务犯罪的，将调查结果移送人民检察院依法审查、提起公诉</w:t>
      </w:r>
      <w:r>
        <w:rPr>
          <w:rFonts w:hint="eastAsia" w:ascii="仿宋_GB2312" w:hAnsi="仿宋_GB2312" w:eastAsia="仿宋_GB2312" w:cs="仿宋_GB2312"/>
          <w:b w:val="0"/>
          <w:bCs w:val="0"/>
          <w:kern w:val="2"/>
          <w:sz w:val="32"/>
          <w:szCs w:val="32"/>
          <w:lang w:val="en-US" w:eastAsia="zh-CN" w:bidi="ar-SA"/>
        </w:rPr>
        <w:t>。发现的主要问题及原因年底存在资金结余。下一步改进措施：我单位将提高资金使用效率，确保资金优化配置，尽快高效支出。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3520" w:firstLineChars="11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w:t>
      </w:r>
    </w:p>
    <w:tbl>
      <w:tblPr>
        <w:tblStyle w:val="6"/>
        <w:tblW w:w="93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080"/>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Style w:val="12"/>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党风廉政建设专项经费（不是专项资金）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[222002]抚宁区纪检会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18.67</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18.67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积极发挥职能作用，加强党风廉政建设，营造风清气正、干事创业的工作氛围。</w:t>
            </w:r>
          </w:p>
        </w:tc>
        <w:tc>
          <w:tcPr>
            <w:tcW w:w="35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2018年度预算资金实际到位35万元，实际支出18.67万元，用于支付办公经费等。</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5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Style w:val="12"/>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宣传活动次数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课题调研次数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教育活动落实率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课题调研情况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教育活动落实情况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2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宣传活动次数情况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08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≥80%</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w:t>
            </w:r>
          </w:p>
        </w:tc>
        <w:tc>
          <w:tcPr>
            <w:tcW w:w="120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Style w:val="12"/>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18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本年度年底尚余16.33万元未支出，我单位将提高资金使用效率，确保资金优化配置，尽快高效支出。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10" w:leftChars="0" w:right="0" w:rightChars="0" w:firstLine="640" w:firstLine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监督检查及巡视督察专项经费项目自评综述：根据年初设定的绩效目标，办案问责专项经费项目绩效自评得分为100分（绩效自评表附后）。全年预算数为22万元，执行数为22万元，完成预算的100%。项目绩效目标完成情况：一是</w:t>
      </w:r>
      <w:r>
        <w:rPr>
          <w:rFonts w:hint="eastAsia" w:ascii="仿宋_GB2312" w:eastAsia="仿宋_GB2312" w:cs="ArialUnicodeMS" w:hAnsiTheme="minorHAnsi"/>
          <w:kern w:val="0"/>
          <w:sz w:val="32"/>
          <w:szCs w:val="32"/>
          <w:highlight w:val="none"/>
        </w:rPr>
        <w:t>对违法的公职人员依法作出政务处分决定；</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eastAsia="仿宋_GB2312" w:cs="ArialUnicodeMS" w:hAnsiTheme="minorHAnsi"/>
          <w:kern w:val="0"/>
          <w:sz w:val="32"/>
          <w:szCs w:val="32"/>
          <w:highlight w:val="none"/>
        </w:rPr>
        <w:t>对履行职责不力、失职失责的领导人员进行问责；</w:t>
      </w:r>
      <w:r>
        <w:rPr>
          <w:rFonts w:hint="eastAsia" w:ascii="仿宋_GB2312" w:eastAsia="仿宋_GB2312" w:cs="ArialUnicodeMS"/>
          <w:kern w:val="0"/>
          <w:sz w:val="32"/>
          <w:szCs w:val="32"/>
          <w:highlight w:val="none"/>
          <w:lang w:eastAsia="zh-CN"/>
        </w:rPr>
        <w:t>三是</w:t>
      </w:r>
      <w:r>
        <w:rPr>
          <w:rFonts w:hint="eastAsia" w:ascii="仿宋_GB2312" w:eastAsia="仿宋_GB2312" w:cs="ArialUnicodeMS" w:hAnsiTheme="minorHAnsi"/>
          <w:kern w:val="0"/>
          <w:sz w:val="32"/>
          <w:szCs w:val="32"/>
          <w:highlight w:val="none"/>
        </w:rPr>
        <w:t>对涉嫌职务犯罪的，将调查结果移送人民检察院依法审查、提起公诉</w:t>
      </w:r>
      <w:r>
        <w:rPr>
          <w:rFonts w:hint="eastAsia" w:ascii="仿宋_GB2312" w:hAnsi="仿宋_GB2312" w:eastAsia="仿宋_GB2312" w:cs="仿宋_GB2312"/>
          <w:b w:val="0"/>
          <w:bCs w:val="0"/>
          <w:kern w:val="2"/>
          <w:sz w:val="32"/>
          <w:szCs w:val="32"/>
          <w:lang w:val="en-US" w:eastAsia="zh-CN" w:bidi="ar-SA"/>
        </w:rPr>
        <w:t>。四是</w:t>
      </w:r>
      <w:r>
        <w:rPr>
          <w:rFonts w:hint="eastAsia" w:ascii="仿宋_GB2312" w:eastAsia="仿宋_GB2312" w:cs="ArialUnicodeMS" w:hAnsiTheme="minorHAnsi"/>
          <w:kern w:val="0"/>
          <w:sz w:val="32"/>
          <w:szCs w:val="32"/>
          <w:highlight w:val="none"/>
        </w:rPr>
        <w:t>向监察对象所在单位提出监察建议。</w:t>
      </w:r>
      <w:r>
        <w:rPr>
          <w:rFonts w:hint="eastAsia" w:ascii="仿宋_GB2312" w:hAnsi="仿宋_GB2312" w:eastAsia="仿宋_GB2312" w:cs="仿宋_GB2312"/>
          <w:b w:val="0"/>
          <w:bCs w:val="0"/>
          <w:kern w:val="2"/>
          <w:sz w:val="32"/>
          <w:szCs w:val="32"/>
          <w:lang w:val="en-US" w:eastAsia="zh-CN" w:bidi="ar-SA"/>
        </w:rPr>
        <w:t>下一步改进措施：本年度年底全部支出完毕，我单位下一年将继续提高资金使用效率，确保资金优化配置，尽快高效支出。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630" w:leftChars="0" w:right="0" w:rightChars="0" w:firstLine="2880" w:firstLineChars="9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绩效自评表</w:t>
      </w:r>
    </w:p>
    <w:tbl>
      <w:tblPr>
        <w:tblStyle w:val="6"/>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080"/>
        <w:gridCol w:w="1080"/>
        <w:gridCol w:w="1245"/>
        <w:gridCol w:w="1410"/>
        <w:gridCol w:w="1080"/>
        <w:gridCol w:w="1110"/>
        <w:gridCol w:w="1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12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w:t>
            </w:r>
            <w:r>
              <w:rPr>
                <w:rStyle w:val="13"/>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监督检查及巡视督查专项经费（不是专项资金）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实施(主管）单位</w:t>
            </w:r>
          </w:p>
        </w:tc>
        <w:tc>
          <w:tcPr>
            <w:tcW w:w="33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[222002]抚宁区纪检会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预算安排情况（调整后）</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资金到位情况</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资金执行情况</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到位数：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1"/>
                <w:szCs w:val="21"/>
                <w:u w:val="none"/>
              </w:rPr>
            </w:pPr>
            <w:r>
              <w:rPr>
                <w:rFonts w:hint="default" w:ascii="Calibri" w:hAnsi="Calibri" w:eastAsia="宋体" w:cs="Calibri"/>
                <w:i w:val="0"/>
                <w:color w:val="000000"/>
                <w:kern w:val="0"/>
                <w:sz w:val="21"/>
                <w:szCs w:val="21"/>
                <w:u w:val="none"/>
                <w:lang w:val="en-US" w:eastAsia="zh-CN" w:bidi="ar"/>
              </w:rPr>
              <w:t>22</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三、目标完成情况</w:t>
            </w:r>
          </w:p>
        </w:tc>
        <w:tc>
          <w:tcPr>
            <w:tcW w:w="34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年度预期目标</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具体完成情况</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加大问责力度，促进“两个责任”有效落实。巡视监督常态化、全覆盖。</w:t>
            </w:r>
          </w:p>
        </w:tc>
        <w:tc>
          <w:tcPr>
            <w:tcW w:w="36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2018年度预算资金实际到位22万元，实际支出22万元，用于支付办公支出等。</w:t>
            </w:r>
          </w:p>
        </w:tc>
        <w:tc>
          <w:tcPr>
            <w:tcW w:w="11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4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36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w:t>
            </w:r>
            <w:r>
              <w:rPr>
                <w:rStyle w:val="13"/>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5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产出指标（50）</w:t>
            </w:r>
          </w:p>
        </w:tc>
        <w:tc>
          <w:tcPr>
            <w:tcW w:w="108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巡察工作覆盖率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监督检查工作完成率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巡察工作完成率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监督检查工作完成情况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巡察工作覆盖情况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巡察工作完成情况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满意度指标（10）</w:t>
            </w:r>
          </w:p>
        </w:tc>
        <w:tc>
          <w:tcPr>
            <w:tcW w:w="10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巡察人员满意度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16"/>
                <w:szCs w:val="16"/>
                <w:u w:val="none"/>
              </w:rPr>
            </w:pPr>
            <w:r>
              <w:rPr>
                <w:rFonts w:hint="default" w:ascii="方正书宋_GBK" w:hAnsi="方正书宋_GBK" w:eastAsia="方正书宋_GBK" w:cs="方正书宋_GBK"/>
                <w:i w:val="0"/>
                <w:color w:val="000000"/>
                <w:kern w:val="0"/>
                <w:sz w:val="16"/>
                <w:szCs w:val="16"/>
                <w:u w:val="none"/>
                <w:lang w:val="en-US" w:eastAsia="zh-CN" w:bidi="ar"/>
              </w:rPr>
              <w:t>≥90%</w:t>
            </w:r>
          </w:p>
        </w:tc>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≥90%</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21"/>
                <w:szCs w:val="21"/>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1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700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2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w:t>
            </w:r>
            <w:r>
              <w:rPr>
                <w:rStyle w:val="13"/>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存在问题、原因及下一步整改措施</w:t>
            </w:r>
          </w:p>
        </w:tc>
        <w:tc>
          <w:tcPr>
            <w:tcW w:w="81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本年度年底全部支出完毕，我单位下一年将继续提高资金使用效率，确保资金优化配置，尽快高效支出。</w:t>
            </w:r>
          </w:p>
        </w:tc>
      </w:tr>
    </w:tbl>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财政评价项目绩效评价结果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无财政评价项目。</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39.14</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159.54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80.30</w:t>
      </w:r>
      <w:r>
        <w:rPr>
          <w:rFonts w:hint="eastAsia" w:ascii="仿宋_GB2312" w:hAnsi="Times New Roman" w:eastAsia="仿宋_GB2312" w:cs="DengXian-Regular"/>
          <w:sz w:val="32"/>
          <w:szCs w:val="32"/>
        </w:rPr>
        <w:t>%。主要原因是上年有一部分经费在日常公用列支。</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57.28</w:t>
      </w:r>
      <w:r>
        <w:rPr>
          <w:rFonts w:hint="eastAsia" w:ascii="仿宋_GB2312" w:hAnsi="Times New Roman" w:eastAsia="仿宋_GB2312" w:cs="DengXian-Regular"/>
          <w:sz w:val="32"/>
          <w:szCs w:val="32"/>
        </w:rPr>
        <w:t>万元</w:t>
      </w:r>
      <w:r>
        <w:rPr>
          <w:rFonts w:hint="eastAsia" w:ascii="仿宋_GB2312" w:hAnsi="仿宋_GB2312" w:eastAsia="仿宋_GB2312" w:cs="仿宋_GB2312"/>
          <w:color w:val="000000"/>
          <w:kern w:val="0"/>
          <w:sz w:val="32"/>
          <w:szCs w:val="32"/>
          <w:lang w:val="en-US" w:eastAsia="zh-CN" w:bidi="ar"/>
        </w:rPr>
        <w:t>，不需通过政府采购支出57.28万元，采购类型为台式电脑4套、便携式计算机5台、打印设备9台、碎纸机1台、空调1个、热水器1个、饮水机1个、洗衣机1台、办公桌41张、办公椅77把、单人沙发7对、文件柜9套、其它柜26个、床17张、床上用具18张、电视机1台、其他设备5台。上述采购资金来源为一般公共预算财政拨款。</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比上年增加1辆，主要是从档案馆无偿划转1辆。</w:t>
      </w:r>
      <w:r>
        <w:rPr>
          <w:rFonts w:hint="eastAsia" w:ascii="仿宋_GB2312" w:hAnsi="Times New Roman" w:eastAsia="仿宋_GB2312" w:cs="DengXian-Regular"/>
          <w:sz w:val="32"/>
          <w:szCs w:val="32"/>
        </w:rPr>
        <w:t>其中，应急保障用车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4辆</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与上年持平</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政府性基金预算财政拨款收入支出决算表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国有资本经营预算财政拨款支出决算表</w:t>
      </w:r>
      <w:r>
        <w:rPr>
          <w:rFonts w:hint="eastAsia" w:ascii="仿宋_GB2312" w:hAnsi="Times New Roman" w:eastAsia="仿宋_GB2312" w:cs="DengXian-Regular"/>
          <w:sz w:val="32"/>
          <w:szCs w:val="32"/>
        </w:rPr>
        <w:t>无收支及结转结余情况，故政府性基金预算财政拨款收入支出决算表</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国有资本经营预算财政拨款支出决算表</w:t>
      </w:r>
      <w:r>
        <w:rPr>
          <w:rFonts w:hint="eastAsia" w:ascii="仿宋_GB2312" w:hAnsi="Times New Roman" w:eastAsia="仿宋_GB2312" w:cs="DengXian-Regular"/>
          <w:sz w:val="32"/>
          <w:szCs w:val="32"/>
        </w:rPr>
        <w:t>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spacing w:after="160" w:line="480" w:lineRule="auto"/>
        <w:rPr>
          <w:rFonts w:ascii="仿宋_GB2312" w:hAnsi="宋体" w:eastAsia="仿宋_GB2312" w:cs="MS-UIGothic,Bold"/>
          <w:bCs/>
          <w:sz w:val="32"/>
          <w:szCs w:val="32"/>
        </w:rPr>
      </w:pP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部门：中共秦皇岛市抚宁区纪律检查</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委员会</w:t>
            </w: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1013.56</w:t>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733.29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111.53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1016.35</w:t>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925.05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60.24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151.54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5"/>
                <w:szCs w:val="15"/>
                <w:u w:val="none"/>
                <w:lang w:val="en-US" w:eastAsia="zh-CN" w:bidi="ar"/>
              </w:rPr>
              <w:t>1076.59</w:t>
            </w: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1076.59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9598" w:type="dxa"/>
        <w:jc w:val="center"/>
        <w:shd w:val="clear" w:color="auto" w:fill="auto"/>
        <w:tblLayout w:type="fixed"/>
        <w:tblCellMar>
          <w:top w:w="0" w:type="dxa"/>
          <w:left w:w="0" w:type="dxa"/>
          <w:bottom w:w="0" w:type="dxa"/>
          <w:right w:w="0" w:type="dxa"/>
        </w:tblCellMar>
      </w:tblPr>
      <w:tblGrid>
        <w:gridCol w:w="718"/>
        <w:gridCol w:w="41"/>
        <w:gridCol w:w="41"/>
        <w:gridCol w:w="2684"/>
        <w:gridCol w:w="1423"/>
        <w:gridCol w:w="1440"/>
        <w:gridCol w:w="1011"/>
        <w:gridCol w:w="519"/>
        <w:gridCol w:w="519"/>
        <w:gridCol w:w="519"/>
        <w:gridCol w:w="683"/>
      </w:tblGrid>
      <w:tr>
        <w:tblPrEx>
          <w:shd w:val="clear" w:color="auto" w:fill="auto"/>
          <w:tblCellMar>
            <w:top w:w="0" w:type="dxa"/>
            <w:left w:w="0" w:type="dxa"/>
            <w:bottom w:w="0" w:type="dxa"/>
            <w:right w:w="0" w:type="dxa"/>
          </w:tblCellMar>
        </w:tblPrEx>
        <w:trPr>
          <w:trHeight w:val="670" w:hRule="atLeast"/>
          <w:jc w:val="center"/>
        </w:trPr>
        <w:tc>
          <w:tcPr>
            <w:tcW w:w="959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0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中共秦皇岛市抚宁区纪律检查</w:t>
            </w:r>
          </w:p>
        </w:tc>
        <w:tc>
          <w:tcPr>
            <w:tcW w:w="1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委员会</w:t>
            </w:r>
          </w:p>
        </w:tc>
        <w:tc>
          <w:tcPr>
            <w:tcW w:w="14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2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5" w:hRule="atLeast"/>
          <w:jc w:val="center"/>
        </w:trPr>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5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6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8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30" w:hRule="atLeast"/>
          <w:jc w:val="center"/>
        </w:trPr>
        <w:tc>
          <w:tcPr>
            <w:tcW w:w="348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5" w:hRule="atLeast"/>
          <w:jc w:val="center"/>
        </w:trPr>
        <w:tc>
          <w:tcPr>
            <w:tcW w:w="348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1,016.35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1013.56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0"/>
                <w:szCs w:val="20"/>
                <w:u w:val="none"/>
                <w:lang w:val="en-US" w:eastAsia="zh-CN"/>
              </w:rPr>
              <w:t>2.79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811.17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808.38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b w:val="0"/>
                <w:bCs/>
                <w:i w:val="0"/>
                <w:color w:val="000000"/>
                <w:sz w:val="20"/>
                <w:szCs w:val="20"/>
                <w:u w:val="none"/>
                <w:lang w:val="en-US" w:eastAsia="zh-CN"/>
              </w:rPr>
              <w:t>2.79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811.17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808.38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b w:val="0"/>
                <w:bCs/>
                <w:i w:val="0"/>
                <w:color w:val="000000"/>
                <w:sz w:val="20"/>
                <w:szCs w:val="20"/>
                <w:u w:val="none"/>
                <w:lang w:val="en-US" w:eastAsia="zh-CN"/>
              </w:rPr>
              <w:t>2.79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595.05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595.05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2011102</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216.12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b w:val="0"/>
                <w:bCs/>
                <w:i w:val="0"/>
                <w:color w:val="000000"/>
                <w:sz w:val="20"/>
                <w:szCs w:val="20"/>
                <w:u w:val="none"/>
                <w:lang w:val="en-US" w:eastAsia="zh-CN"/>
              </w:rPr>
              <w:t>2.79</w:t>
            </w: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118.51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118.51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17.66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17.66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2080505</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100.85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100.85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33.49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33.49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2101101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33.49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53.18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22102</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53.18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2210201</w:t>
            </w:r>
          </w:p>
        </w:tc>
        <w:tc>
          <w:tcPr>
            <w:tcW w:w="2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53.18 </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10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959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tblPrEx>
          <w:tblCellMar>
            <w:top w:w="0" w:type="dxa"/>
            <w:left w:w="0" w:type="dxa"/>
            <w:bottom w:w="0" w:type="dxa"/>
            <w:right w:w="0" w:type="dxa"/>
          </w:tblCellMar>
        </w:tblPrEx>
        <w:trPr>
          <w:trHeight w:val="385" w:hRule="atLeast"/>
          <w:jc w:val="center"/>
        </w:trPr>
        <w:tc>
          <w:tcPr>
            <w:tcW w:w="959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270"/>
        <w:gridCol w:w="1250"/>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中共秦皇岛市</w:t>
            </w: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抚宁区纪律检</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查委员会</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2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7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23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237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925.05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742.33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182.72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一般公共服务支出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733.29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550.57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182.72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纪检监察事务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733.29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550.57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182.72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2011101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行政运行</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550.57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550.57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2011102</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一般行政管理事务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182.72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182.72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社会保障和就业支出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111.53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111.53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行政事业单位离退休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111.53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111.53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归口管理的行政单位离退休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16.56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16.56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2080505</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机关事业单位基本养老保险缴费支出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94.97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94.97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卫生健康支出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行政事业单位医疗</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2101101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行政单位医疗</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32.78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住房保障支出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22102</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住房改革支出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2210201</w:t>
            </w:r>
          </w:p>
        </w:tc>
        <w:tc>
          <w:tcPr>
            <w:tcW w:w="12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住房公积金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47.45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0.00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855"/>
        <w:gridCol w:w="492"/>
        <w:gridCol w:w="662"/>
        <w:gridCol w:w="2946"/>
        <w:gridCol w:w="507"/>
        <w:gridCol w:w="414"/>
        <w:gridCol w:w="855"/>
        <w:gridCol w:w="789"/>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85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285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部门：中共秦皇岛市抚宁区纪律</w:t>
            </w:r>
          </w:p>
        </w:tc>
        <w:tc>
          <w:tcPr>
            <w:tcW w:w="4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w:t>
            </w: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委员会</w:t>
            </w: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85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1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12" w:hRule="atLeast"/>
          <w:jc w:val="center"/>
        </w:trPr>
        <w:tc>
          <w:tcPr>
            <w:tcW w:w="285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5"/>
                <w:szCs w:val="15"/>
                <w:u w:val="none"/>
                <w:lang w:val="en-US" w:eastAsia="zh-CN"/>
              </w:rPr>
              <w:t>1013.56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1"/>
                <w:szCs w:val="11"/>
                <w:u w:val="none"/>
                <w:lang w:val="en-US" w:eastAsia="zh-CN"/>
              </w:rPr>
              <w:t>730.50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730.50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1"/>
                <w:szCs w:val="11"/>
                <w:u w:val="none"/>
                <w:lang w:val="en-US" w:eastAsia="zh-CN"/>
              </w:rPr>
              <w:t>111.53</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111.53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32.78</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32.78</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1"/>
                <w:szCs w:val="11"/>
                <w:u w:val="none"/>
                <w:lang w:val="en-US" w:eastAsia="zh-CN"/>
              </w:rPr>
              <w:t>47.45</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47.45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15"/>
                <w:szCs w:val="15"/>
                <w:u w:val="none"/>
                <w:lang w:val="en-US" w:eastAsia="zh-CN"/>
              </w:rPr>
              <w:t>1013.56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1"/>
                <w:szCs w:val="11"/>
                <w:u w:val="none"/>
                <w:lang w:val="en-US" w:eastAsia="zh-CN"/>
              </w:rPr>
              <w:t>922.26</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922.26</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60.24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1"/>
                <w:szCs w:val="11"/>
                <w:u w:val="none"/>
                <w:lang w:val="en-US" w:eastAsia="zh-CN"/>
              </w:rPr>
            </w:pPr>
            <w:r>
              <w:rPr>
                <w:rFonts w:hint="eastAsia" w:ascii="宋体" w:hAnsi="宋体" w:eastAsia="宋体" w:cs="宋体"/>
                <w:i w:val="0"/>
                <w:color w:val="000000"/>
                <w:sz w:val="11"/>
                <w:szCs w:val="11"/>
                <w:u w:val="none"/>
                <w:lang w:val="en-US" w:eastAsia="zh-CN"/>
              </w:rPr>
              <w:t>151.54</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151.54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60.24</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5"/>
                <w:szCs w:val="15"/>
                <w:u w:val="none"/>
                <w:lang w:val="en-US" w:eastAsia="zh-CN"/>
              </w:rPr>
              <w:t>1073.80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0"/>
                <w:szCs w:val="10"/>
                <w:u w:val="none"/>
                <w:lang w:val="en-US" w:eastAsia="zh-CN"/>
              </w:rPr>
              <w:t>1073.80</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1073.80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6"/>
        <w:tblW w:w="10172" w:type="dxa"/>
        <w:jc w:val="center"/>
        <w:shd w:val="clear" w:color="auto" w:fill="auto"/>
        <w:tblLayout w:type="fixed"/>
        <w:tblCellMar>
          <w:top w:w="0" w:type="dxa"/>
          <w:left w:w="0" w:type="dxa"/>
          <w:bottom w:w="0" w:type="dxa"/>
          <w:right w:w="0" w:type="dxa"/>
        </w:tblCellMar>
      </w:tblPr>
      <w:tblGrid>
        <w:gridCol w:w="1025"/>
        <w:gridCol w:w="240"/>
        <w:gridCol w:w="43"/>
        <w:gridCol w:w="1663"/>
        <w:gridCol w:w="2446"/>
        <w:gridCol w:w="2378"/>
        <w:gridCol w:w="2377"/>
      </w:tblGrid>
      <w:tr>
        <w:tblPrEx>
          <w:shd w:val="clear" w:color="auto" w:fill="auto"/>
          <w:tblCellMar>
            <w:top w:w="0" w:type="dxa"/>
            <w:left w:w="0" w:type="dxa"/>
            <w:bottom w:w="0" w:type="dxa"/>
            <w:right w:w="0" w:type="dxa"/>
          </w:tblCellMar>
        </w:tblPrEx>
        <w:trPr>
          <w:trHeight w:val="600" w:hRule="atLeast"/>
          <w:jc w:val="center"/>
        </w:trPr>
        <w:tc>
          <w:tcPr>
            <w:tcW w:w="1017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jc w:val="center"/>
        </w:trPr>
        <w:tc>
          <w:tcPr>
            <w:tcW w:w="102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5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10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w:t>
            </w: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秦</w:t>
            </w:r>
          </w:p>
        </w:tc>
        <w:tc>
          <w:tcPr>
            <w:tcW w:w="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皇岛市抚宁区纪律</w:t>
            </w:r>
          </w:p>
        </w:tc>
        <w:tc>
          <w:tcPr>
            <w:tcW w:w="24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检查委员会</w:t>
            </w:r>
          </w:p>
        </w:tc>
        <w:tc>
          <w:tcPr>
            <w:tcW w:w="475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297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20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66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3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3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297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2971"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1013.56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800.23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一般公共服务支出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808.38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595.05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纪检监察事务</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808.38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595.05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行政运行</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595.05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595.05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2011102</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一般行政管理事务</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213.33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社会保障和就业支出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行政事业单位离退休</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118.51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归口管理的行政单位离退休</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17.66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17.66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2080505</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机关事业单位基本养老保险缴费支出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100.85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100.85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20899</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其他社会保障和就业支出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2089901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其他社会保障和就业支出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卫生健康支出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行政事业单位医疗</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2101101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行政单位医疗</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33.49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住房保障支出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22102</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住房改革支出</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2210201</w:t>
            </w:r>
          </w:p>
        </w:tc>
        <w:tc>
          <w:tcPr>
            <w:tcW w:w="1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4"/>
                <w:szCs w:val="14"/>
                <w:u w:val="none"/>
                <w:lang w:val="en-US" w:eastAsia="zh-CN" w:bidi="ar"/>
              </w:rPr>
              <w:t xml:space="preserve">  住房公积金</w:t>
            </w:r>
          </w:p>
        </w:tc>
        <w:tc>
          <w:tcPr>
            <w:tcW w:w="24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 xml:space="preserve">53.18 </w:t>
            </w:r>
          </w:p>
        </w:tc>
        <w:tc>
          <w:tcPr>
            <w:tcW w:w="23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25"/>
        <w:gridCol w:w="1860"/>
        <w:gridCol w:w="850"/>
        <w:gridCol w:w="731"/>
        <w:gridCol w:w="1599"/>
        <w:gridCol w:w="768"/>
        <w:gridCol w:w="744"/>
        <w:gridCol w:w="1891"/>
        <w:gridCol w:w="732"/>
      </w:tblGrid>
      <w:tr>
        <w:tblPrEx>
          <w:shd w:val="clear" w:color="auto" w:fill="auto"/>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8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w:t>
            </w:r>
          </w:p>
        </w:tc>
        <w:tc>
          <w:tcPr>
            <w:tcW w:w="18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共秦皇岛市抚宁区纪</w:t>
            </w:r>
          </w:p>
        </w:tc>
        <w:tc>
          <w:tcPr>
            <w:tcW w:w="8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律检查委</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员会</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5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46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49" w:hRule="atLeast"/>
          <w:jc w:val="center"/>
        </w:trPr>
        <w:tc>
          <w:tcPr>
            <w:tcW w:w="8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684.02</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39.14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243.89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0.39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225.99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34.55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94.97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32.78</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4.39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47.45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19.17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3.89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2.45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4.19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0.16</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28.70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2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68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703.19</w:t>
            </w:r>
          </w:p>
        </w:tc>
        <w:tc>
          <w:tcPr>
            <w:tcW w:w="573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39.14</w:t>
            </w:r>
          </w:p>
        </w:tc>
      </w:tr>
    </w:tbl>
    <w:p>
      <w:pPr>
        <w:rPr>
          <w:rFonts w:hint="default"/>
          <w:lang w:val="en-US" w:eastAsia="zh-CN"/>
        </w:rPr>
      </w:pPr>
      <w:r>
        <w:rPr>
          <w:rFonts w:hint="default"/>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部门：中共秦</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皇岛市抚宁区纪律</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28.00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6.00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21.08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15.98</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15.98</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5.1</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1430"/>
        <w:gridCol w:w="36"/>
        <w:gridCol w:w="36"/>
        <w:gridCol w:w="1430"/>
        <w:gridCol w:w="1170"/>
        <w:gridCol w:w="1082"/>
        <w:gridCol w:w="1082"/>
        <w:gridCol w:w="1082"/>
        <w:gridCol w:w="1082"/>
        <w:gridCol w:w="1082"/>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部门：中共秦皇</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岛市抚宁区纪律</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10084" w:type="dxa"/>
        <w:jc w:val="center"/>
        <w:shd w:val="clear" w:color="auto" w:fill="auto"/>
        <w:tblLayout w:type="fixed"/>
        <w:tblCellMar>
          <w:top w:w="0" w:type="dxa"/>
          <w:left w:w="0" w:type="dxa"/>
          <w:bottom w:w="0" w:type="dxa"/>
          <w:right w:w="0" w:type="dxa"/>
        </w:tblCellMar>
      </w:tblPr>
      <w:tblGrid>
        <w:gridCol w:w="2830"/>
        <w:gridCol w:w="240"/>
        <w:gridCol w:w="240"/>
        <w:gridCol w:w="2758"/>
        <w:gridCol w:w="1230"/>
        <w:gridCol w:w="1520"/>
        <w:gridCol w:w="1266"/>
      </w:tblGrid>
      <w:tr>
        <w:tblPrEx>
          <w:shd w:val="clear" w:color="auto" w:fill="auto"/>
          <w:tblCellMar>
            <w:top w:w="0" w:type="dxa"/>
            <w:left w:w="0" w:type="dxa"/>
            <w:bottom w:w="0" w:type="dxa"/>
            <w:right w:w="0" w:type="dxa"/>
          </w:tblCellMar>
        </w:tblPrEx>
        <w:trPr>
          <w:trHeight w:val="840" w:hRule="atLeast"/>
          <w:jc w:val="center"/>
        </w:trPr>
        <w:tc>
          <w:tcPr>
            <w:tcW w:w="10084"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8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28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部门：中共秦皇岛市抚宁区纪律</w:t>
            </w: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检</w:t>
            </w: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查</w:t>
            </w:r>
          </w:p>
        </w:tc>
        <w:tc>
          <w:tcPr>
            <w:tcW w:w="27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委员会</w:t>
            </w:r>
            <w:bookmarkStart w:id="0" w:name="_GoBack"/>
            <w:bookmarkEnd w:id="0"/>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8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60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4016"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7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606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606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31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9941483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9941483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F1101"/>
    <w:multiLevelType w:val="singleLevel"/>
    <w:tmpl w:val="E4EF1101"/>
    <w:lvl w:ilvl="0" w:tentative="0">
      <w:start w:val="3"/>
      <w:numFmt w:val="decimal"/>
      <w:suff w:val="space"/>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DFC05E3"/>
    <w:multiLevelType w:val="singleLevel"/>
    <w:tmpl w:val="5DFC05E3"/>
    <w:lvl w:ilvl="0" w:tentative="0">
      <w:start w:val="4"/>
      <w:numFmt w:val="chineseCounting"/>
      <w:suff w:val="nothing"/>
      <w:lvlText w:val="%1、"/>
      <w:lvlJc w:val="left"/>
      <w:rPr>
        <w:rFonts w:hint="eastAsia"/>
      </w:rPr>
    </w:lvl>
  </w:abstractNum>
  <w:abstractNum w:abstractNumId="3">
    <w:nsid w:val="5F222FFA"/>
    <w:multiLevelType w:val="singleLevel"/>
    <w:tmpl w:val="5F222FFA"/>
    <w:lvl w:ilvl="0" w:tentative="0">
      <w:start w:val="1"/>
      <w:numFmt w:val="decimal"/>
      <w:suff w:val="nothing"/>
      <w:lvlText w:val="（%1）"/>
      <w:lvlJc w:val="left"/>
      <w:pPr>
        <w:ind w:left="-1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AAB6945"/>
    <w:rsid w:val="1F1B7DBC"/>
    <w:rsid w:val="1FC44EE6"/>
    <w:rsid w:val="22737430"/>
    <w:rsid w:val="29455DD3"/>
    <w:rsid w:val="2F2E2B6D"/>
    <w:rsid w:val="31C2036A"/>
    <w:rsid w:val="320D02A5"/>
    <w:rsid w:val="34737384"/>
    <w:rsid w:val="348E566F"/>
    <w:rsid w:val="363C2CEE"/>
    <w:rsid w:val="3A226944"/>
    <w:rsid w:val="3AEE6A48"/>
    <w:rsid w:val="3C1620AA"/>
    <w:rsid w:val="3D8F080F"/>
    <w:rsid w:val="44CE1FA4"/>
    <w:rsid w:val="466F4BA7"/>
    <w:rsid w:val="487F73ED"/>
    <w:rsid w:val="4A347EAE"/>
    <w:rsid w:val="4DD02607"/>
    <w:rsid w:val="4EFE1B41"/>
    <w:rsid w:val="50CE3E2E"/>
    <w:rsid w:val="52600405"/>
    <w:rsid w:val="529B4319"/>
    <w:rsid w:val="57773DD6"/>
    <w:rsid w:val="578B79AB"/>
    <w:rsid w:val="5CCD3FD5"/>
    <w:rsid w:val="61FA5F9D"/>
    <w:rsid w:val="64CD6910"/>
    <w:rsid w:val="67314351"/>
    <w:rsid w:val="6789158D"/>
    <w:rsid w:val="67D81BA4"/>
    <w:rsid w:val="69247B88"/>
    <w:rsid w:val="6AAF1C96"/>
    <w:rsid w:val="72677721"/>
    <w:rsid w:val="72884E00"/>
    <w:rsid w:val="7402530B"/>
    <w:rsid w:val="75681757"/>
    <w:rsid w:val="75A346A8"/>
    <w:rsid w:val="75F87A77"/>
    <w:rsid w:val="79B9382C"/>
    <w:rsid w:val="7B043B76"/>
    <w:rsid w:val="7B285515"/>
    <w:rsid w:val="7C041A6A"/>
    <w:rsid w:val="7D7E28FB"/>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 w:type="character" w:customStyle="1" w:styleId="12">
    <w:name w:val="font61"/>
    <w:basedOn w:val="8"/>
    <w:qFormat/>
    <w:uiPriority w:val="0"/>
    <w:rPr>
      <w:rFonts w:ascii="Calibri" w:hAnsi="Calibri" w:cs="Calibri"/>
      <w:color w:val="000000"/>
      <w:sz w:val="16"/>
      <w:szCs w:val="16"/>
      <w:u w:val="none"/>
    </w:rPr>
  </w:style>
  <w:style w:type="character" w:customStyle="1" w:styleId="13">
    <w:name w:val="font71"/>
    <w:basedOn w:val="8"/>
    <w:qFormat/>
    <w:uiPriority w:val="0"/>
    <w:rPr>
      <w:rFonts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34</Pages>
  <Words>10261</Words>
  <Characters>12403</Characters>
  <Lines>1</Lines>
  <Paragraphs>1</Paragraphs>
  <TotalTime>1</TotalTime>
  <ScaleCrop>false</ScaleCrop>
  <LinksUpToDate>false</LinksUpToDate>
  <CharactersWithSpaces>12858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2020-09-23T08:42:43Z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